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spacing w:after="0" w:line="240" w:lineRule="auto"/>
        <w:jc w:val="center"/>
        <w:rPr/>
      </w:pPr>
      <w:bookmarkStart w:colFirst="0" w:colLast="0" w:name="_h6lbcbuzvagx" w:id="0"/>
      <w:bookmarkEnd w:id="0"/>
      <w:r w:rsidDel="00000000" w:rsidR="00000000" w:rsidRPr="00000000">
        <w:rPr>
          <w:rtl w:val="0"/>
        </w:rPr>
        <w:t xml:space="preserve">ExternalAntenna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line="240" w:lineRule="auto"/>
        <w:jc w:val="center"/>
        <w:rPr/>
      </w:pPr>
      <w:bookmarkStart w:colFirst="0" w:colLast="0" w:name="_hcyp27l9qz79" w:id="1"/>
      <w:bookmarkEnd w:id="1"/>
      <w:r w:rsidDel="00000000" w:rsidR="00000000" w:rsidRPr="00000000">
        <w:rPr>
          <w:rtl w:val="0"/>
        </w:rPr>
        <w:t xml:space="preserve">Antenna for LTE or radio communication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6225"/>
        <w:tblGridChange w:id="0">
          <w:tblGrid>
            <w:gridCol w:w="4995"/>
            <w:gridCol w:w="6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Style w:val="Heading1"/>
              <w:spacing w:after="0" w:before="0"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17na24h46dq6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Key features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channels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2G/3G/LTE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Jeweller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Wings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frequencies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698–960 MHz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1,710–2,690 MHz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Connector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Style w:val="Heading1"/>
              <w:spacing w:after="0" w:before="0"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exg1qi7tafj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Sabotage protection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External antenna breakage detection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An Ajax system is able to detect a breakage of an external antenna and notify users and the monitoring company.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Style w:val="Heading1"/>
              <w:spacing w:after="0" w:before="0"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a72cmb6nptv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Installation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antenna is connected to the hub’s communication channels and goes outside through holes in the hub’s casing.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antenna is attached to the surface using a pre-applied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double-sided adhesive tape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Style w:val="Heading1"/>
              <w:spacing w:after="0" w:before="0"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5cj2mcb3ufzr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115.6 × 21.7 × 5.8 mm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4.55″ × 0.85″ × 0.23″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Cable length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3,000 mm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9.84″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41 g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1.45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–40 °C to +85 °C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–40 °F to 185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95%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Style w:val="Heading1"/>
              <w:spacing w:after="0" w:before="0"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8y8vrpvnkh73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Colors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Black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Style w:val="Heading1"/>
              <w:spacing w:after="0" w:before="0"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6czxgzidt3ex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ExternalAntenna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20013" w:w="14173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